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Normal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На вебинаре рассказали об изменениях по НДС и налогу на прибыль</w:t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Управлении ФНС России по Костромской области прошел вебинар</w:t>
      </w:r>
      <w:r>
        <w:rPr>
          <w:rFonts w:ascii="Times New Roman" w:hAnsi="Times New Roman"/>
          <w:sz w:val="28"/>
          <w:szCs w:val="28"/>
        </w:rPr>
        <w:t xml:space="preserve"> по  изменениям налогового законодательства, вступающим в силу с 1 января 2026 года.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</w:t>
      </w:r>
      <w:r>
        <w:rPr>
          <w:rFonts w:ascii="Times New Roman" w:hAnsi="Times New Roman"/>
          <w:sz w:val="28"/>
          <w:szCs w:val="28"/>
        </w:rPr>
        <w:t xml:space="preserve">сновная </w:t>
      </w:r>
      <w:r>
        <w:rPr>
          <w:rFonts w:ascii="Times New Roman" w:hAnsi="Times New Roman"/>
          <w:sz w:val="28"/>
          <w:szCs w:val="28"/>
        </w:rPr>
        <w:t xml:space="preserve">ставка налога на добавленную стоимость </w:t>
      </w:r>
      <w:r>
        <w:rPr>
          <w:rFonts w:ascii="Times New Roman" w:hAnsi="Times New Roman"/>
          <w:sz w:val="28"/>
          <w:szCs w:val="28"/>
        </w:rPr>
        <w:t xml:space="preserve">увелич</w:t>
      </w:r>
      <w:r>
        <w:rPr>
          <w:rFonts w:ascii="Times New Roman" w:hAnsi="Times New Roman"/>
          <w:sz w:val="28"/>
          <w:szCs w:val="28"/>
        </w:rPr>
        <w:t xml:space="preserve">ивается </w:t>
      </w:r>
      <w:r>
        <w:rPr>
          <w:rFonts w:ascii="Times New Roman" w:hAnsi="Times New Roman"/>
          <w:sz w:val="28"/>
          <w:szCs w:val="28"/>
        </w:rPr>
        <w:t xml:space="preserve">с 20% до </w:t>
      </w:r>
      <w:r>
        <w:rPr>
          <w:rFonts w:ascii="Times New Roman" w:hAnsi="Times New Roman"/>
          <w:sz w:val="28"/>
          <w:szCs w:val="28"/>
        </w:rPr>
        <w:t xml:space="preserve">22%. </w:t>
      </w:r>
      <w:r>
        <w:rPr>
          <w:rFonts w:ascii="Times New Roman" w:hAnsi="Times New Roman"/>
          <w:sz w:val="28"/>
          <w:szCs w:val="28"/>
        </w:rPr>
        <w:t xml:space="preserve">Как</w:t>
      </w:r>
      <w:r>
        <w:rPr>
          <w:rFonts w:ascii="Times New Roman" w:hAnsi="Times New Roman"/>
          <w:sz w:val="28"/>
          <w:szCs w:val="28"/>
        </w:rPr>
        <w:t xml:space="preserve">ую ставку применять к переходящим договорам, на вебинаре рассказала </w:t>
      </w:r>
      <w:r>
        <w:rPr>
          <w:rFonts w:ascii="Times New Roman" w:hAnsi="Times New Roman"/>
          <w:sz w:val="28"/>
          <w:szCs w:val="28"/>
        </w:rPr>
        <w:t xml:space="preserve">начальник отдела камерального контроля НДС №1 </w:t>
      </w:r>
      <w:r>
        <w:rPr>
          <w:rFonts w:ascii="Times New Roman" w:hAnsi="Times New Roman"/>
          <w:b/>
          <w:sz w:val="28"/>
          <w:szCs w:val="28"/>
        </w:rPr>
        <w:t xml:space="preserve">Любовь Шевак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Она </w:t>
      </w:r>
      <w:r>
        <w:rPr>
          <w:rFonts w:ascii="Times New Roman" w:hAnsi="Times New Roman"/>
          <w:sz w:val="28"/>
          <w:szCs w:val="28"/>
        </w:rPr>
        <w:t xml:space="preserve">обратила внимание</w:t>
      </w:r>
      <w:r>
        <w:rPr>
          <w:rFonts w:ascii="Times New Roman" w:hAnsi="Times New Roman"/>
          <w:sz w:val="28"/>
          <w:szCs w:val="28"/>
        </w:rPr>
        <w:t xml:space="preserve"> на то</w:t>
      </w:r>
      <w:r>
        <w:rPr>
          <w:rFonts w:ascii="Times New Roman" w:hAnsi="Times New Roman"/>
          <w:sz w:val="28"/>
          <w:szCs w:val="28"/>
        </w:rPr>
        <w:t xml:space="preserve">, что по контрактам 2025-2026 года продавцу необходимо </w:t>
      </w:r>
      <w:r>
        <w:rPr>
          <w:rFonts w:ascii="Times New Roman" w:hAnsi="Times New Roman"/>
          <w:sz w:val="28"/>
          <w:szCs w:val="28"/>
        </w:rPr>
        <w:t xml:space="preserve">учесть </w:t>
      </w:r>
      <w:r>
        <w:rPr>
          <w:rFonts w:ascii="Times New Roman" w:hAnsi="Times New Roman"/>
          <w:sz w:val="28"/>
          <w:szCs w:val="28"/>
        </w:rPr>
        <w:t xml:space="preserve">ряд нюансов:</w:t>
      </w:r>
      <w:r>
        <w:rPr>
          <w:rFonts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</w:rPr>
        <w:t xml:space="preserve">Товар отгружен в 2025 году, оплата в 2026 году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НДС 20% (на дату отгрузки);</w:t>
      </w:r>
      <w:r>
        <w:rPr>
          <w:rFonts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А</w:t>
      </w:r>
      <w:r>
        <w:rPr>
          <w:rFonts w:ascii="Times New Roman" w:hAnsi="Times New Roman"/>
          <w:sz w:val="28"/>
          <w:szCs w:val="28"/>
        </w:rPr>
        <w:t xml:space="preserve">ванс в 2025 году, отгрузка в 2026 году – НДС с аванса 20/120, </w:t>
      </w:r>
      <w:r>
        <w:rPr>
          <w:rFonts w:ascii="Times New Roman" w:hAnsi="Times New Roman"/>
          <w:sz w:val="28"/>
          <w:szCs w:val="28"/>
        </w:rPr>
        <w:t xml:space="preserve">НДС </w:t>
      </w:r>
      <w:r>
        <w:rPr>
          <w:rFonts w:ascii="Times New Roman" w:hAnsi="Times New Roman"/>
          <w:sz w:val="28"/>
          <w:szCs w:val="28"/>
        </w:rPr>
        <w:t xml:space="preserve">с отгрузки 22%</w:t>
      </w:r>
      <w:r>
        <w:rPr>
          <w:rFonts w:ascii="Times New Roman" w:hAnsi="Times New Roman"/>
          <w:sz w:val="28"/>
          <w:szCs w:val="28"/>
        </w:rPr>
        <w:t xml:space="preserve">;</w:t>
      </w:r>
      <w:r>
        <w:rPr>
          <w:rFonts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Р</w:t>
      </w:r>
      <w:r>
        <w:rPr>
          <w:rFonts w:ascii="Times New Roman" w:hAnsi="Times New Roman"/>
          <w:sz w:val="28"/>
          <w:szCs w:val="28"/>
        </w:rPr>
        <w:t xml:space="preserve">еализация в 2025 году, возврат </w:t>
      </w:r>
      <w:r>
        <w:rPr>
          <w:rFonts w:ascii="Times New Roman" w:hAnsi="Times New Roman"/>
          <w:sz w:val="28"/>
          <w:szCs w:val="28"/>
        </w:rPr>
        <w:t xml:space="preserve">части товара </w:t>
      </w:r>
      <w:r>
        <w:rPr>
          <w:rFonts w:ascii="Times New Roman" w:hAnsi="Times New Roman"/>
          <w:sz w:val="28"/>
          <w:szCs w:val="28"/>
        </w:rPr>
        <w:t xml:space="preserve">в 2026 году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НДС с реализации 20%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корректировка НДС по ставке 20% (по счету-фактуре от  реализации)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Спикер также отметила, что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для бизнеса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на «упрощенке»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меняются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условия для освобождения от уплаты НДС.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С 1 января 2026 года исчислять налог необходимо тем, чей доход за 2025 год превысил 20 млн руб.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При этом новые плательщики НДС на УСН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смогут досрочно – в течение четырех кварталов - отказаться от специальных ставок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5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% и 7% 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и перейти на основную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22% (10%)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 с возможностью вычетов</w:t>
      </w:r>
      <w:r>
        <w:rPr>
          <w:rFonts w:ascii="Times New Roman" w:hAnsi="Times New Roman" w:eastAsia="Times New Roman"/>
          <w:sz w:val="28"/>
          <w:szCs w:val="28"/>
          <w:lang w:eastAsia="ru-RU"/>
        </w:rPr>
        <w:t xml:space="preserve">. Для всех остальных правило трехлетнего применения выбранной ставки НДС продолжит действовать.  </w:t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основных изменениях по налогу</w:t>
      </w:r>
      <w:r>
        <w:rPr>
          <w:rFonts w:ascii="Times New Roman" w:hAnsi="Times New Roman"/>
          <w:sz w:val="28"/>
          <w:szCs w:val="28"/>
        </w:rPr>
        <w:t xml:space="preserve"> на прибыль участникам вебинара </w:t>
      </w:r>
      <w:r>
        <w:rPr>
          <w:rFonts w:ascii="Times New Roman" w:hAnsi="Times New Roman"/>
          <w:sz w:val="28"/>
          <w:szCs w:val="28"/>
        </w:rPr>
        <w:t xml:space="preserve">рассказала </w:t>
      </w:r>
      <w:r>
        <w:rPr>
          <w:rFonts w:ascii="Times New Roman" w:hAnsi="Times New Roman"/>
          <w:sz w:val="28"/>
          <w:szCs w:val="28"/>
        </w:rPr>
        <w:t xml:space="preserve">заместитель начальника отдела камерального контроля </w:t>
      </w:r>
      <w:r>
        <w:rPr>
          <w:rFonts w:ascii="Times New Roman" w:hAnsi="Times New Roman"/>
          <w:b/>
          <w:sz w:val="28"/>
          <w:szCs w:val="28"/>
        </w:rPr>
        <w:t xml:space="preserve">Марина Пастухова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В числе </w:t>
      </w:r>
      <w:r>
        <w:rPr>
          <w:rFonts w:ascii="Times New Roman" w:hAnsi="Times New Roman"/>
          <w:sz w:val="28"/>
          <w:szCs w:val="28"/>
        </w:rPr>
        <w:t xml:space="preserve">важных </w:t>
      </w:r>
      <w:r>
        <w:rPr>
          <w:rFonts w:ascii="Times New Roman" w:hAnsi="Times New Roman"/>
          <w:sz w:val="28"/>
          <w:szCs w:val="28"/>
        </w:rPr>
        <w:t xml:space="preserve">новшеств спикер отметила: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</w:r>
    </w:p>
    <w:p>
      <w:pPr>
        <w:pStyle w:val="179"/>
        <w:numPr>
          <w:ilvl w:val="0"/>
          <w:numId w:val="2"/>
        </w:numPr>
        <w:rPr>
          <w:sz w:val="28"/>
          <w:szCs w:val="28"/>
        </w:rPr>
      </w:pPr>
      <w:r>
        <w:rPr>
          <w:bCs/>
          <w:color w:val="000000"/>
          <w:kern w:val="24"/>
          <w:sz w:val="28"/>
          <w:szCs w:val="28"/>
        </w:rPr>
        <w:t xml:space="preserve">Запрет на исправление ошибок прошлых лет в текущем периоде при повышении налоговой ставки</w:t>
      </w:r>
      <w:r>
        <w:rPr>
          <w:bCs/>
          <w:color w:val="000000"/>
          <w:kern w:val="24"/>
          <w:sz w:val="28"/>
          <w:szCs w:val="28"/>
        </w:rPr>
        <w:t xml:space="preserve">.</w:t>
      </w:r>
      <w:r>
        <w:rPr>
          <w:sz w:val="28"/>
          <w:szCs w:val="28"/>
        </w:rPr>
      </w:r>
    </w:p>
    <w:p>
      <w:pPr>
        <w:pStyle w:val="179"/>
        <w:numPr>
          <w:ilvl w:val="0"/>
          <w:numId w:val="2"/>
        </w:numPr>
        <w:rPr>
          <w:sz w:val="28"/>
          <w:szCs w:val="28"/>
        </w:rPr>
      </w:pPr>
      <w:r>
        <w:rPr>
          <w:bCs/>
          <w:sz w:val="28"/>
          <w:szCs w:val="28"/>
        </w:rPr>
        <w:t xml:space="preserve">Продление ограничения по учету убытков прошлых лет до 2030 года</w:t>
      </w:r>
      <w:r>
        <w:rPr>
          <w:bCs/>
          <w:sz w:val="28"/>
          <w:szCs w:val="28"/>
        </w:rPr>
        <w:t xml:space="preserve">.</w:t>
      </w:r>
      <w:r>
        <w:rPr>
          <w:sz w:val="28"/>
          <w:szCs w:val="28"/>
        </w:rPr>
      </w:r>
    </w:p>
    <w:p>
      <w:pPr>
        <w:pStyle w:val="179"/>
        <w:numPr>
          <w:ilvl w:val="0"/>
          <w:numId w:val="2"/>
        </w:numPr>
        <w:rPr>
          <w:sz w:val="28"/>
          <w:szCs w:val="28"/>
        </w:rPr>
      </w:pPr>
      <w:r>
        <w:rPr>
          <w:bCs/>
          <w:sz w:val="28"/>
          <w:szCs w:val="28"/>
        </w:rPr>
        <w:t xml:space="preserve">Запрет на применение коэффициента «2» по договорам сублицензии на </w:t>
      </w:r>
      <w:r>
        <w:rPr>
          <w:bCs/>
          <w:sz w:val="28"/>
          <w:szCs w:val="28"/>
        </w:rPr>
        <w:t xml:space="preserve">программное обеспечение.</w:t>
      </w:r>
      <w:r>
        <w:rPr>
          <w:sz w:val="28"/>
          <w:szCs w:val="28"/>
        </w:rPr>
      </w:r>
    </w:p>
    <w:p>
      <w:pPr>
        <w:pStyle w:val="179"/>
        <w:numPr>
          <w:ilvl w:val="0"/>
          <w:numId w:val="2"/>
        </w:numPr>
        <w:rPr>
          <w:bCs/>
          <w:color w:val="000000"/>
          <w:kern w:val="24"/>
          <w:sz w:val="28"/>
          <w:szCs w:val="28"/>
        </w:rPr>
      </w:pPr>
      <w:r>
        <w:rPr>
          <w:bCs/>
          <w:color w:val="000000"/>
          <w:kern w:val="24"/>
          <w:sz w:val="28"/>
          <w:szCs w:val="28"/>
        </w:rPr>
        <w:t xml:space="preserve">Включение в перечень </w:t>
      </w:r>
      <w:r>
        <w:rPr>
          <w:bCs/>
          <w:color w:val="000000"/>
          <w:kern w:val="24"/>
          <w:sz w:val="28"/>
          <w:szCs w:val="28"/>
        </w:rPr>
        <w:t xml:space="preserve">доходов, не облагаемых налогом на прибыль</w:t>
      </w:r>
      <w:r>
        <w:rPr>
          <w:bCs/>
          <w:color w:val="000000"/>
          <w:kern w:val="24"/>
          <w:sz w:val="28"/>
          <w:szCs w:val="28"/>
        </w:rPr>
        <w:t xml:space="preserve">:</w:t>
      </w:r>
      <w:r>
        <w:rPr>
          <w:bCs/>
          <w:color w:val="000000"/>
          <w:kern w:val="24"/>
          <w:sz w:val="28"/>
          <w:szCs w:val="28"/>
        </w:rPr>
        <w:t xml:space="preserve"> </w:t>
      </w:r>
      <w:r>
        <w:rPr>
          <w:bCs/>
          <w:color w:val="000000"/>
          <w:kern w:val="24"/>
          <w:sz w:val="28"/>
          <w:szCs w:val="28"/>
        </w:rPr>
      </w:r>
    </w:p>
    <w:p>
      <w:pPr>
        <w:pStyle w:val="179"/>
        <w:ind w:left="360"/>
        <w:rPr>
          <w:bCs/>
          <w:sz w:val="28"/>
          <w:szCs w:val="28"/>
        </w:rPr>
      </w:pPr>
      <w:r>
        <w:rPr>
          <w:bCs/>
          <w:sz w:val="28"/>
          <w:szCs w:val="28"/>
        </w:rPr>
      </w:r>
    </w:p>
    <w:p>
      <w:pPr>
        <w:pStyle w:val="179"/>
        <w:ind w:left="360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-</w:t>
      </w:r>
      <w:r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средств, перечисленны</w:t>
      </w:r>
      <w:r>
        <w:rPr>
          <w:bCs/>
          <w:sz w:val="28"/>
          <w:szCs w:val="28"/>
        </w:rPr>
        <w:t xml:space="preserve">х</w:t>
      </w:r>
      <w:r>
        <w:rPr>
          <w:bCs/>
          <w:sz w:val="28"/>
          <w:szCs w:val="28"/>
        </w:rPr>
        <w:t xml:space="preserve"> организации-застройщику со счетов эскроу, при наличии не сданных в эксплуатацию иных объектов, </w:t>
      </w:r>
      <w:r>
        <w:rPr>
          <w:bCs/>
          <w:sz w:val="28"/>
          <w:szCs w:val="28"/>
        </w:rPr>
        <w:t xml:space="preserve">которые предусмотрены </w:t>
      </w:r>
      <w:r>
        <w:rPr>
          <w:bCs/>
          <w:sz w:val="28"/>
          <w:szCs w:val="28"/>
        </w:rPr>
        <w:t xml:space="preserve">договор</w:t>
      </w:r>
      <w:r>
        <w:rPr>
          <w:bCs/>
          <w:sz w:val="28"/>
          <w:szCs w:val="28"/>
        </w:rPr>
        <w:t xml:space="preserve">ом</w:t>
      </w:r>
      <w:r>
        <w:rPr>
          <w:bCs/>
          <w:sz w:val="28"/>
          <w:szCs w:val="28"/>
        </w:rPr>
        <w:t xml:space="preserve"> участия в долевом строительстве</w:t>
      </w:r>
      <w:r>
        <w:rPr>
          <w:bCs/>
          <w:sz w:val="28"/>
          <w:szCs w:val="28"/>
        </w:rPr>
        <w:t xml:space="preserve">;</w:t>
      </w:r>
      <w:r>
        <w:rPr>
          <w:bCs/>
          <w:sz w:val="28"/>
          <w:szCs w:val="28"/>
        </w:rPr>
      </w:r>
    </w:p>
    <w:p>
      <w:pPr>
        <w:pStyle w:val="Normal"/>
        <w:ind w:left="36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eastAsia="Times New Roman"/>
          <w:bCs/>
          <w:color w:val="000000"/>
          <w:kern w:val="24"/>
          <w:sz w:val="28"/>
          <w:szCs w:val="28"/>
        </w:rPr>
        <w:t xml:space="preserve">- сумм компенсации убытков за изъятое </w:t>
      </w:r>
      <w:r>
        <w:rPr>
          <w:rFonts w:ascii="Times New Roman" w:hAnsi="Times New Roman" w:eastAsia="Times New Roman"/>
          <w:bCs/>
          <w:color w:val="000000"/>
          <w:kern w:val="24"/>
          <w:sz w:val="28"/>
          <w:szCs w:val="28"/>
        </w:rPr>
        <w:t xml:space="preserve">имуществ</w:t>
      </w:r>
      <w:r>
        <w:rPr>
          <w:rFonts w:ascii="Times New Roman" w:hAnsi="Times New Roman" w:eastAsia="Times New Roman"/>
          <w:bCs/>
          <w:color w:val="000000"/>
          <w:kern w:val="24"/>
          <w:sz w:val="28"/>
          <w:szCs w:val="28"/>
        </w:rPr>
        <w:t xml:space="preserve">о</w:t>
      </w:r>
      <w:r>
        <w:rPr>
          <w:rFonts w:ascii="Times New Roman" w:hAnsi="Times New Roman" w:eastAsia="Times New Roman"/>
          <w:bCs/>
          <w:color w:val="000000"/>
          <w:kern w:val="24"/>
          <w:sz w:val="28"/>
          <w:szCs w:val="28"/>
        </w:rPr>
        <w:t xml:space="preserve"> для государственных и муниципальных нужд</w:t>
      </w:r>
      <w:r>
        <w:rPr>
          <w:rFonts w:ascii="Times New Roman" w:hAnsi="Times New Roman" w:eastAsia="Times New Roman"/>
          <w:bCs/>
          <w:color w:val="000000"/>
          <w:kern w:val="24"/>
          <w:sz w:val="28"/>
          <w:szCs w:val="28"/>
        </w:rPr>
        <w:t xml:space="preserve">.</w:t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Us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Марина Пастухова</w:t>
      </w:r>
      <w:r>
        <w:rPr>
          <w:rFonts w:ascii="Times New Roman" w:hAnsi="Times New Roman"/>
          <w:sz w:val="28"/>
          <w:szCs w:val="28"/>
        </w:rPr>
        <w:t xml:space="preserve"> также </w:t>
      </w:r>
      <w:r>
        <w:rPr>
          <w:rFonts w:ascii="Times New Roman" w:hAnsi="Times New Roman"/>
          <w:sz w:val="28"/>
          <w:szCs w:val="28"/>
        </w:rPr>
        <w:t xml:space="preserve">обратила внимание</w:t>
      </w:r>
      <w:r>
        <w:rPr>
          <w:rFonts w:ascii="Times New Roman" w:hAnsi="Times New Roman"/>
          <w:sz w:val="28"/>
          <w:szCs w:val="28"/>
        </w:rPr>
        <w:t xml:space="preserve"> налогоплательщиков на новую форму декларации </w:t>
      </w:r>
      <w:r>
        <w:rPr>
          <w:rFonts w:ascii="Times New Roman" w:hAnsi="Times New Roman"/>
          <w:sz w:val="28"/>
          <w:szCs w:val="28"/>
        </w:rPr>
        <w:t xml:space="preserve">по налогу на</w:t>
      </w:r>
      <w:r>
        <w:rPr>
          <w:rFonts w:ascii="Times New Roman" w:hAnsi="Times New Roman"/>
          <w:sz w:val="28"/>
          <w:szCs w:val="28"/>
        </w:rPr>
        <w:t xml:space="preserve"> прибыль. Она применяется</w:t>
      </w:r>
      <w:r>
        <w:rPr>
          <w:rFonts w:ascii="Times New Roman" w:hAnsi="Times New Roman"/>
          <w:sz w:val="28"/>
          <w:szCs w:val="28"/>
        </w:rPr>
        <w:t xml:space="preserve"> к отчетности </w:t>
      </w:r>
      <w:r>
        <w:rPr>
          <w:rFonts w:ascii="Times New Roman" w:hAnsi="Times New Roman"/>
          <w:sz w:val="28"/>
          <w:szCs w:val="28"/>
        </w:rPr>
        <w:t xml:space="preserve">за 2025 год</w:t>
      </w:r>
      <w:r>
        <w:rPr>
          <w:rFonts w:ascii="Times New Roman" w:hAnsi="Times New Roman"/>
          <w:sz w:val="28"/>
          <w:szCs w:val="28"/>
        </w:rPr>
        <w:t xml:space="preserve">, которую необходимо представить до 25 марта 2026 года</w:t>
      </w:r>
      <w:r>
        <w:rPr>
          <w:rFonts w:ascii="Times New Roman" w:hAnsi="Times New Roman"/>
          <w:sz w:val="28"/>
          <w:szCs w:val="28"/>
        </w:rPr>
        <w:t xml:space="preserve">. </w:t>
      </w:r>
    </w:p>
    <w:p>
      <w:pPr>
        <w:pStyle w:val="Normal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Запись вебинара доступна по ссылке</w:t>
      </w:r>
      <w:r>
        <w:rPr>
          <w:rFonts w:ascii="Times New Roman" w:hAnsi="Times New Roman"/>
          <w:sz w:val="28"/>
          <w:szCs w:val="28"/>
        </w:rPr>
        <w:t xml:space="preserve">:</w:t>
      </w: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fldChar w:fldCharType="begin"/>
      </w:r>
      <w:r>
        <w:rPr>
          <w:rFonts w:ascii="Times New Roman" w:hAnsi="Times New Roman"/>
          <w:sz w:val="28"/>
          <w:szCs w:val="28"/>
        </w:rPr>
        <w:instrText xml:space="preserve"> HYPERLINK "https://w.saby.ru/webinar/004b18c4-50f1-4a76-8c7e-197383aa2f89" </w:instrText>
      </w:r>
      <w:r>
        <w:rPr>
          <w:rFonts w:ascii="Times New Roman" w:hAnsi="Times New Roman"/>
          <w:sz w:val="28"/>
          <w:szCs w:val="28"/>
        </w:rPr>
        <w:fldChar w:fldCharType="separate"/>
      </w:r>
      <w:r>
        <w:rPr>
          <w:rStyle w:val="Hyperlink"/>
          <w:rFonts w:ascii="Times New Roman" w:hAnsi="Times New Roman"/>
          <w:sz w:val="28"/>
          <w:szCs w:val="28"/>
        </w:rPr>
        <w:t xml:space="preserve">https://w.saby.ru/webinar/004b18c4-50f1-4a76-8c7e-197383aa2f89</w:t>
      </w:r>
      <w:r>
        <w:rPr>
          <w:rFonts w:ascii="Times New Roman" w:hAnsi="Times New Roman"/>
          <w:sz w:val="28"/>
          <w:szCs w:val="28"/>
        </w:rPr>
        <w:fldChar w:fldCharType="end"/>
      </w:r>
      <w:r>
        <w:rPr>
          <w:rFonts w:ascii="Times New Roman" w:hAnsi="Times New Roman"/>
          <w:sz w:val="28"/>
          <w:szCs w:val="28"/>
        </w:rPr>
      </w:r>
    </w:p>
    <w:sectPr>
      <w:type w:val="nextPage"/>
      <w:pgSz w:h="16838" w:w="11906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lvlJc w:val="left"/>
      <w:lvlText w:val="%1."/>
      <w:numFmt w:val="decimal"/>
      <w:pPr>
        <w:tabs>
          <w:tab w:val="num" w:leader="none" w:pos="720"/>
        </w:tabs>
        <w:ind w:hanging="360" w:left="720"/>
      </w:pPr>
      <w:start w:val="1"/>
      <w:suff w:val="tab"/>
    </w:lvl>
    <w:lvl w:ilvl="1">
      <w:lvlJc w:val="left"/>
      <w:lvlText w:val="%2."/>
      <w:numFmt w:val="decimal"/>
      <w:pPr>
        <w:tabs>
          <w:tab w:val="num" w:leader="none" w:pos="1440"/>
        </w:tabs>
        <w:ind w:hanging="360" w:left="1440"/>
      </w:pPr>
      <w:start w:val="1"/>
      <w:suff w:val="tab"/>
    </w:lvl>
    <w:lvl w:ilvl="2">
      <w:lvlJc w:val="left"/>
      <w:lvlText w:val="%3."/>
      <w:numFmt w:val="decimal"/>
      <w:pPr>
        <w:tabs>
          <w:tab w:val="num" w:leader="none" w:pos="2160"/>
        </w:tabs>
        <w:ind w:hanging="360" w:left="2160"/>
      </w:pPr>
      <w:start w:val="1"/>
      <w:suff w:val="tab"/>
    </w:lvl>
    <w:lvl w:ilvl="3">
      <w:lvlJc w:val="left"/>
      <w:lvlText w:val="%4."/>
      <w:numFmt w:val="decimal"/>
      <w:pPr>
        <w:tabs>
          <w:tab w:val="num" w:leader="none" w:pos="2880"/>
        </w:tabs>
        <w:ind w:hanging="360" w:left="2880"/>
      </w:pPr>
      <w:start w:val="1"/>
      <w:suff w:val="tab"/>
    </w:lvl>
    <w:lvl w:ilvl="4">
      <w:lvlJc w:val="left"/>
      <w:lvlText w:val="%5."/>
      <w:numFmt w:val="decimal"/>
      <w:pPr>
        <w:tabs>
          <w:tab w:val="num" w:leader="none" w:pos="3600"/>
        </w:tabs>
        <w:ind w:hanging="360" w:left="3600"/>
      </w:pPr>
      <w:start w:val="1"/>
      <w:suff w:val="tab"/>
    </w:lvl>
    <w:lvl w:ilvl="5">
      <w:lvlJc w:val="left"/>
      <w:lvlText w:val="%6."/>
      <w:numFmt w:val="decimal"/>
      <w:pPr>
        <w:tabs>
          <w:tab w:val="num" w:leader="none" w:pos="4320"/>
        </w:tabs>
        <w:ind w:hanging="360" w:left="4320"/>
      </w:pPr>
      <w:start w:val="1"/>
      <w:suff w:val="tab"/>
    </w:lvl>
    <w:lvl w:ilvl="6">
      <w:lvlJc w:val="left"/>
      <w:lvlText w:val="%7."/>
      <w:numFmt w:val="decimal"/>
      <w:pPr>
        <w:tabs>
          <w:tab w:val="num" w:leader="none" w:pos="5040"/>
        </w:tabs>
        <w:ind w:hanging="360" w:left="5040"/>
      </w:pPr>
      <w:start w:val="1"/>
      <w:suff w:val="tab"/>
    </w:lvl>
    <w:lvl w:ilvl="7">
      <w:lvlJc w:val="left"/>
      <w:lvlText w:val="%8."/>
      <w:numFmt w:val="decimal"/>
      <w:pPr>
        <w:tabs>
          <w:tab w:val="num" w:leader="none" w:pos="5760"/>
        </w:tabs>
        <w:ind w:hanging="360" w:left="5760"/>
      </w:pPr>
      <w:start w:val="1"/>
      <w:suff w:val="tab"/>
    </w:lvl>
    <w:lvl w:ilvl="8">
      <w:lvlJc w:val="left"/>
      <w:lvlText w:val="%9."/>
      <w:numFmt w:val="decimal"/>
      <w:pPr>
        <w:tabs>
          <w:tab w:val="num" w:leader="none" w:pos="6480"/>
        </w:tabs>
        <w:ind w:hanging="360" w:left="6480"/>
      </w:pPr>
      <w:start w:val="1"/>
      <w:suff w:val="tab"/>
    </w:lvl>
  </w:abstractNum>
  <w:abstractNum w:abstractNumId="1">
    <w:multiLevelType w:val="hybridMultilevel"/>
    <w:lvl w:ilvl="0">
      <w:lvlJc w:val="left"/>
      <w:lvlText w:val="%1."/>
      <w:numFmt w:val="decimal"/>
      <w:pPr>
        <w:ind w:hanging="360" w:left="720"/>
      </w:pPr>
      <w:rPr>
        <w:rFonts w:eastAsia="Times New Roman"/>
        <w:color w:val="000000"/>
      </w:rPr>
      <w:start w:val="1"/>
      <w:suff w:val="tab"/>
    </w:lvl>
    <w:lvl w:ilvl="1">
      <w:lvlJc w:val="left"/>
      <w:lvlText w:val="%2."/>
      <w:numFmt w:val="lowerLetter"/>
      <w:pPr>
        <w:ind w:hanging="360" w:left="1440"/>
      </w:pPr>
      <w:start w:val="1"/>
      <w:suff w:val="tab"/>
    </w:lvl>
    <w:lvl w:ilvl="2">
      <w:lvlJc w:val="right"/>
      <w:lvlText w:val="%3."/>
      <w:numFmt w:val="lowerRoman"/>
      <w:pPr>
        <w:ind w:hanging="180" w:left="2160"/>
      </w:pPr>
      <w:start w:val="1"/>
      <w:suff w:val="tab"/>
    </w:lvl>
    <w:lvl w:ilvl="3">
      <w:lvlJc w:val="left"/>
      <w:lvlText w:val="%4."/>
      <w:numFmt w:val="decimal"/>
      <w:pPr>
        <w:ind w:hanging="360" w:left="2880"/>
      </w:pPr>
      <w:start w:val="1"/>
      <w:suff w:val="tab"/>
    </w:lvl>
    <w:lvl w:ilvl="4">
      <w:lvlJc w:val="left"/>
      <w:lvlText w:val="%5."/>
      <w:numFmt w:val="lowerLetter"/>
      <w:pPr>
        <w:ind w:hanging="360" w:left="3600"/>
      </w:pPr>
      <w:start w:val="1"/>
      <w:suff w:val="tab"/>
    </w:lvl>
    <w:lvl w:ilvl="5">
      <w:lvlJc w:val="right"/>
      <w:lvlText w:val="%6."/>
      <w:numFmt w:val="lowerRoman"/>
      <w:pPr>
        <w:ind w:hanging="180" w:left="4320"/>
      </w:pPr>
      <w:start w:val="1"/>
      <w:suff w:val="tab"/>
    </w:lvl>
    <w:lvl w:ilvl="6">
      <w:lvlJc w:val="left"/>
      <w:lvlText w:val="%7."/>
      <w:numFmt w:val="decimal"/>
      <w:pPr>
        <w:ind w:hanging="360" w:left="5040"/>
      </w:pPr>
      <w:start w:val="1"/>
      <w:suff w:val="tab"/>
    </w:lvl>
    <w:lvl w:ilvl="7">
      <w:lvlJc w:val="left"/>
      <w:lvlText w:val="%8."/>
      <w:numFmt w:val="lowerLetter"/>
      <w:pPr>
        <w:ind w:hanging="360" w:left="5760"/>
      </w:pPr>
      <w:start w:val="1"/>
      <w:suff w:val="tab"/>
    </w:lvl>
    <w:lvl w:ilvl="8">
      <w:lvlJc w:val="right"/>
      <w:lvlText w:val="%9."/>
      <w:numFmt w:val="lowerRoman"/>
      <w:pPr>
        <w:ind w:hanging="180" w:left="6480"/>
      </w:pPr>
      <w:start w:val="1"/>
      <w:suff w:val="tab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isplayHorizontalDrawingGridEvery w:val="1"/>
  <w:displayVerticalDrawingGridEvery w:val="1"/>
  <w:characterSpacingControl w:val="doNotCompress"/>
  <w:footnotePr/>
  <w:compat>
    <w:spaceForUL w:val="true"/>
    <w:useNormalStyleForList w:val="true"/>
    <w:doNotUseIndentAsNumberingTabStop w:val="true"/>
    <w:useAltKinsokuLineBreakRules w:val="true"/>
    <w:allowSpaceOfSameStyleInTable w:val="true"/>
    <w:doNotSuppressIndentation w:val="true"/>
    <w:doNotAutofitConstrainedTables w:val="true"/>
    <w:autofitToFirstFixedWidthCell w:val="true"/>
    <w:displayHangulFixedWidth w:val="true"/>
    <w:splitPgBreakAndParaMark w:val="true"/>
    <w:doNotVertAlignCellWithSp w:val="true"/>
    <w:doNotBreakConstrainedForcedTable w:val="true"/>
    <w:doNotVertAlignInTxbx w:val="true"/>
    <w:useAnsiKerningPairs w:val="true"/>
    <w:cachedColBalance w:val="true"/>
    <w:compatSetting w:name="compatibilityMode" w:uri="http://schemas.microsoft.com/office/word" w:val="11"/>
  </w:compat>
  <w:themeFontLang w:val="en-US" w:eastAsia="zh-CN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hAnsi="Calibri" w:eastAsia="Calibri" w:cs="Times New Roman"/>
        <w:lang w:val="ru-RU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Normal">
    <w:name w:val="Normal"/>
    <w:aliases w:val="Обычный"/>
    <w:next w:val="Normal"/>
    <w:link w:val="Normal"/>
    <w:qFormat/>
    <w:pPr>
      <w:spacing w:after="200" w:line="276" w:lineRule="auto"/>
    </w:pPr>
    <w:rPr>
      <w:sz w:val="22"/>
      <w:szCs w:val="22"/>
      <w:lang w:val="ru-RU" w:eastAsia="en-US" w:bidi="ar-SA"/>
    </w:rPr>
  </w:style>
  <w:style w:type="character" w:styleId="NormalCharacter">
    <w:name w:val="Основной шрифт абзаца"/>
    <w:next w:val="NormalCharacter"/>
    <w:link w:val="Normal"/>
    <w:uiPriority w:val="1"/>
    <w:semiHidden/>
    <w:unhideWhenUsed/>
  </w:style>
  <w:style w:type="table" w:styleId="TableNormal">
    <w:name w:val="Обычная таблица"/>
    <w:next w:val="TableNormal"/>
    <w:link w:val="Normal"/>
    <w:uiPriority w:val="99"/>
    <w:semiHidden/>
    <w:unhideWhenUsed/>
    <w:tblPr>
      <w:tblW w:w="0" w:type="auto"/>
      <w:tblInd w:w="0" w:type="dxa"/>
      <w:tblLayout w:type="fixed"/>
      <w:tblCellMar>
        <w:left w:w="108" w:type="dxa"/>
        <w:top w:w="0" w:type="dxa"/>
        <w:right w:w="108" w:type="dxa"/>
        <w:bottom w:w="0" w:type="dxa"/>
      </w:tblCellMar>
    </w:tblPr>
  </w:style>
  <w:style w:type="numbering" w:styleId="NormalList">
    <w:name w:val="Нет списка"/>
    <w:next w:val="NormalList"/>
    <w:link w:val="Normal"/>
    <w:uiPriority w:val="99"/>
    <w:semiHidden/>
    <w:unhideWhenUsed/>
  </w:style>
  <w:style w:type="paragraph" w:styleId="179">
    <w:name w:val="Абзац списка"/>
    <w:basedOn w:val="Normal"/>
    <w:next w:val="179"/>
    <w:link w:val="Normal"/>
    <w:uiPriority w:val="34"/>
    <w:qFormat/>
    <w:pPr>
      <w:spacing w:after="0" w:line="240" w:lineRule="auto"/>
      <w:ind w:left="720"/>
      <w:contextualSpacing w:val="true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HtmlNormal">
    <w:name w:val="Обычный (веб)"/>
    <w:basedOn w:val="Normal"/>
    <w:next w:val="HtmlNormal"/>
    <w:link w:val="Normal"/>
    <w:uiPriority w:val="99"/>
    <w:semiHidden/>
    <w:unhideWhenUsed/>
    <w:pPr>
      <w:spacing w:after="100" w:afterAutospacing="1" w:before="100" w:before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User">
    <w:name w:val="Без интервала"/>
    <w:next w:val="User"/>
    <w:link w:val="Normal"/>
    <w:uiPriority w:val="1"/>
    <w:qFormat/>
    <w:rPr>
      <w:sz w:val="22"/>
      <w:szCs w:val="22"/>
      <w:lang w:val="ru-RU" w:eastAsia="en-US" w:bidi="ar-SA"/>
    </w:rPr>
  </w:style>
  <w:style w:type="character" w:styleId="Hyperlink">
    <w:name w:val="Гиперссылка"/>
    <w:next w:val="Hyperlink"/>
    <w:link w:val="Normal"/>
    <w:uiPriority w:val="99"/>
    <w:semiHidden/>
    <w:unhideWhenUsed/>
    <w:rPr>
      <w:color w:val="0000ff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369</Words>
  <Characters>2108</Characters>
  <CharactersWithSpaces>2473</CharactersWithSpaces>
  <Application>ONLYOFFICE/8.3.0.97</Application>
  <DocSecurity>0</DocSecurity>
  <Lines>17</Lines>
  <Paragraphs>4</Paragraphs>
  <ScaleCrop>0</ScaleCrop>
  <HeadingPairs>
    <vt:vector size="0" baseType="variant"/>
  </HeadingPairs>
  <TitlesOfParts>
    <vt:vector size="0" baseType="lpstr"/>
  </TitlesOfParts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Ефимова Елена Николаевна</dc:creator>
  <cp:lastModifiedBy>Internet</cp:lastModifiedBy>
  <cp:revision>9</cp:revision>
  <dcterms:created xsi:type="dcterms:W3CDTF">2025-12-25T07:47:00Z</dcterms:created>
  <dcterms:modified xsi:type="dcterms:W3CDTF">2025-12-25T14:40:00Z</dcterms:modified>
  <cp:version>917504</cp:version>
</cp:coreProperties>
</file>